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A36" w:rsidRPr="009636EF" w:rsidRDefault="006C2A36" w:rsidP="006C2A36">
      <w:pPr>
        <w:jc w:val="center"/>
        <w:rPr>
          <w:rFonts w:asciiTheme="majorHAnsi" w:hAnsiTheme="majorHAnsi"/>
          <w:b/>
          <w:sz w:val="28"/>
          <w:u w:val="single"/>
        </w:rPr>
      </w:pPr>
      <w:bookmarkStart w:id="0" w:name="_GoBack"/>
      <w:bookmarkEnd w:id="0"/>
      <w:r w:rsidRPr="009636EF">
        <w:rPr>
          <w:rFonts w:asciiTheme="majorHAnsi" w:hAnsiTheme="majorHAnsi"/>
          <w:b/>
          <w:sz w:val="28"/>
          <w:u w:val="single"/>
        </w:rPr>
        <w:t>Workshop notes and presenter biographies.</w:t>
      </w:r>
    </w:p>
    <w:tbl>
      <w:tblPr>
        <w:tblStyle w:val="TableGrid"/>
        <w:tblpPr w:leftFromText="180" w:rightFromText="180" w:vertAnchor="page" w:horzAnchor="margin" w:tblpY="2191"/>
        <w:tblW w:w="10205" w:type="dxa"/>
        <w:tblLook w:val="04A0" w:firstRow="1" w:lastRow="0" w:firstColumn="1" w:lastColumn="0" w:noHBand="0" w:noVBand="1"/>
      </w:tblPr>
      <w:tblGrid>
        <w:gridCol w:w="10205"/>
      </w:tblGrid>
      <w:tr w:rsidR="006C2A36" w:rsidTr="006C2A36">
        <w:tc>
          <w:tcPr>
            <w:tcW w:w="10205" w:type="dxa"/>
          </w:tcPr>
          <w:p w:rsidR="006C2A36" w:rsidRDefault="006C2A36" w:rsidP="00592B6D">
            <w:pPr>
              <w:jc w:val="center"/>
              <w:rPr>
                <w:rFonts w:asciiTheme="majorHAnsi" w:hAnsiTheme="majorHAnsi"/>
                <w:b/>
                <w:sz w:val="28"/>
                <w:u w:val="single"/>
              </w:rPr>
            </w:pPr>
            <w:r w:rsidRPr="008E2143">
              <w:rPr>
                <w:rFonts w:asciiTheme="majorHAnsi" w:hAnsiTheme="majorHAnsi"/>
                <w:b/>
                <w:sz w:val="28"/>
                <w:u w:val="single"/>
              </w:rPr>
              <w:t>Keynote Address</w:t>
            </w:r>
          </w:p>
          <w:p w:rsidR="006C2A36" w:rsidRPr="008E2143" w:rsidRDefault="006C2A36" w:rsidP="00592B6D">
            <w:pPr>
              <w:jc w:val="center"/>
              <w:rPr>
                <w:rFonts w:asciiTheme="majorHAnsi" w:hAnsiTheme="majorHAnsi"/>
                <w:b/>
                <w:u w:val="single"/>
              </w:rPr>
            </w:pPr>
          </w:p>
          <w:p w:rsidR="006C2A36" w:rsidRPr="009636EF" w:rsidRDefault="006C2A36" w:rsidP="00592B6D">
            <w:pPr>
              <w:jc w:val="center"/>
              <w:rPr>
                <w:rFonts w:asciiTheme="majorHAnsi" w:hAnsiTheme="majorHAnsi"/>
                <w:b/>
                <w:u w:val="single"/>
              </w:rPr>
            </w:pPr>
            <w:r w:rsidRPr="009636EF">
              <w:rPr>
                <w:rFonts w:asciiTheme="majorHAnsi" w:hAnsiTheme="majorHAnsi"/>
                <w:b/>
                <w:u w:val="single"/>
              </w:rPr>
              <w:t>Clare Lee</w:t>
            </w:r>
          </w:p>
          <w:p w:rsidR="006C2A36" w:rsidRPr="009636EF" w:rsidRDefault="006C2A36" w:rsidP="00592B6D">
            <w:pPr>
              <w:jc w:val="center"/>
              <w:rPr>
                <w:rFonts w:asciiTheme="majorHAnsi" w:hAnsiTheme="majorHAnsi"/>
                <w:b/>
                <w:i/>
              </w:rPr>
            </w:pPr>
            <w:r w:rsidRPr="009636EF">
              <w:rPr>
                <w:rFonts w:asciiTheme="majorHAnsi" w:hAnsiTheme="majorHAnsi" w:cs="Helvetica"/>
                <w:b/>
                <w:i/>
                <w:lang w:val="en-US"/>
              </w:rPr>
              <w:t>Lecturer in Education, The Open University</w:t>
            </w:r>
          </w:p>
          <w:p w:rsidR="006C2A36" w:rsidRPr="009636EF" w:rsidRDefault="006C2A36" w:rsidP="00592B6D">
            <w:pPr>
              <w:rPr>
                <w:rFonts w:asciiTheme="majorHAnsi" w:hAnsiTheme="majorHAnsi"/>
                <w:b/>
                <w:i/>
              </w:rPr>
            </w:pPr>
          </w:p>
          <w:p w:rsidR="006C2A36" w:rsidRPr="009636EF" w:rsidRDefault="006C2A36" w:rsidP="00592B6D">
            <w:pPr>
              <w:rPr>
                <w:rFonts w:asciiTheme="majorHAnsi" w:hAnsiTheme="majorHAnsi" w:cs="Helvetica"/>
                <w:lang w:val="en-US"/>
              </w:rPr>
            </w:pPr>
            <w:r w:rsidRPr="009636EF">
              <w:rPr>
                <w:rFonts w:asciiTheme="majorHAnsi" w:hAnsiTheme="majorHAnsi" w:cs="Helvetica"/>
                <w:lang w:val="en-US"/>
              </w:rPr>
              <w:t>Lecturer and researcher in mathematics education. Current research interest is teaching mathematics for life-long learning and use of mathematics. Author and editor of several books and journal articles on teaching and learning mathematics across all phases of education. Research Fellow on the Kings’ Formative Assessment Project.</w:t>
            </w:r>
          </w:p>
          <w:p w:rsidR="006C2A36" w:rsidRPr="009636EF" w:rsidRDefault="006C2A36" w:rsidP="00592B6D">
            <w:pPr>
              <w:rPr>
                <w:rFonts w:asciiTheme="majorHAnsi" w:hAnsiTheme="majorHAnsi"/>
                <w:b/>
                <w:u w:val="single"/>
              </w:rPr>
            </w:pPr>
          </w:p>
          <w:p w:rsidR="006C2A36" w:rsidRPr="009636EF" w:rsidRDefault="006C2A36" w:rsidP="00592B6D">
            <w:pPr>
              <w:jc w:val="center"/>
              <w:rPr>
                <w:rFonts w:asciiTheme="majorHAnsi" w:hAnsiTheme="majorHAnsi"/>
                <w:b/>
                <w:u w:val="single"/>
              </w:rPr>
            </w:pPr>
            <w:r w:rsidRPr="009636EF">
              <w:rPr>
                <w:rFonts w:asciiTheme="majorHAnsi" w:hAnsiTheme="majorHAnsi"/>
                <w:b/>
                <w:u w:val="single"/>
              </w:rPr>
              <w:t>Developing mathematical resilience</w:t>
            </w:r>
          </w:p>
          <w:p w:rsidR="006C2A36" w:rsidRPr="009636EF" w:rsidRDefault="006C2A36" w:rsidP="00592B6D">
            <w:pPr>
              <w:rPr>
                <w:rFonts w:asciiTheme="majorHAnsi" w:hAnsiTheme="majorHAnsi"/>
                <w:b/>
              </w:rPr>
            </w:pPr>
          </w:p>
          <w:p w:rsidR="006C2A36" w:rsidRPr="009636EF" w:rsidRDefault="006C2A36" w:rsidP="00592B6D">
            <w:pPr>
              <w:rPr>
                <w:rFonts w:asciiTheme="majorHAnsi" w:hAnsiTheme="majorHAnsi"/>
              </w:rPr>
            </w:pPr>
            <w:r w:rsidRPr="009636EF">
              <w:rPr>
                <w:rFonts w:asciiTheme="majorHAnsi" w:hAnsiTheme="majorHAnsi"/>
              </w:rPr>
              <w:t xml:space="preserve">Learners of any age need resilience to learn mathematics in ways that allow them to develop sufficient confidence to use and control mathematical ideas </w:t>
            </w:r>
            <w:r w:rsidRPr="009636EF">
              <w:rPr>
                <w:rFonts w:asciiTheme="majorHAnsi" w:hAnsiTheme="majorHAnsi"/>
                <w:i/>
              </w:rPr>
              <w:t>for themselves</w:t>
            </w:r>
            <w:r w:rsidRPr="009636EF">
              <w:rPr>
                <w:rFonts w:asciiTheme="majorHAnsi" w:hAnsiTheme="majorHAnsi"/>
              </w:rPr>
              <w:t>. Much mathematics is offered in an exclusive way that relies heavily on memory. They say, “learn to do it our way and you won’t go wrong” then society is surprised when learners exclude themselves from doing mathematics. Instead of “path smoothing”, teachers should work in ways that enable learners to see mathematics in the world and help them feel the satisfaction that comes from a struggle conquered. They must be inclusive by offering different ways to learn mathematics and encouraging learners to seek and give help in the community.</w:t>
            </w:r>
          </w:p>
          <w:p w:rsidR="006C2A36" w:rsidRDefault="006C2A36" w:rsidP="00592B6D"/>
        </w:tc>
      </w:tr>
      <w:tr w:rsidR="006C2A36" w:rsidTr="006C2A36">
        <w:tc>
          <w:tcPr>
            <w:tcW w:w="10205" w:type="dxa"/>
          </w:tcPr>
          <w:p w:rsidR="006C2A36" w:rsidRPr="009636EF" w:rsidRDefault="006C2A36" w:rsidP="00592B6D">
            <w:pPr>
              <w:shd w:val="clear" w:color="auto" w:fill="FFFFFF"/>
              <w:spacing w:line="240" w:lineRule="atLeast"/>
              <w:jc w:val="center"/>
              <w:textAlignment w:val="baseline"/>
              <w:outlineLvl w:val="4"/>
              <w:rPr>
                <w:rFonts w:asciiTheme="majorHAnsi" w:hAnsiTheme="majorHAnsi"/>
                <w:b/>
                <w:u w:val="single"/>
              </w:rPr>
            </w:pPr>
            <w:r w:rsidRPr="009636EF">
              <w:rPr>
                <w:rFonts w:asciiTheme="majorHAnsi" w:hAnsiTheme="majorHAnsi"/>
                <w:b/>
                <w:u w:val="single"/>
              </w:rPr>
              <w:t>Building conceptual understanding using “Maths in Context” teaching approaches</w:t>
            </w:r>
          </w:p>
          <w:p w:rsidR="006C2A36" w:rsidRPr="009636EF" w:rsidRDefault="006C2A36" w:rsidP="00592B6D">
            <w:pPr>
              <w:shd w:val="clear" w:color="auto" w:fill="FFFFFF"/>
              <w:spacing w:line="240" w:lineRule="atLeast"/>
              <w:textAlignment w:val="baseline"/>
              <w:outlineLvl w:val="4"/>
              <w:rPr>
                <w:rFonts w:asciiTheme="majorHAnsi" w:eastAsia="Times New Roman" w:hAnsiTheme="majorHAnsi" w:cs="Times New Roman"/>
                <w:b/>
                <w:color w:val="434649"/>
                <w:u w:val="single"/>
              </w:rPr>
            </w:pPr>
          </w:p>
          <w:p w:rsidR="006C2A36" w:rsidRDefault="006C2A36" w:rsidP="00592B6D">
            <w:pPr>
              <w:widowControl w:val="0"/>
              <w:autoSpaceDE w:val="0"/>
              <w:autoSpaceDN w:val="0"/>
              <w:adjustRightInd w:val="0"/>
              <w:rPr>
                <w:rFonts w:asciiTheme="majorHAnsi" w:hAnsiTheme="majorHAnsi"/>
              </w:rPr>
            </w:pPr>
            <w:r w:rsidRPr="009636EF">
              <w:rPr>
                <w:rFonts w:asciiTheme="majorHAnsi" w:hAnsiTheme="majorHAnsi"/>
              </w:rPr>
              <w:t>“Maths in Context” teaching approaches engage students in order to build their conceptual understanding. The workshop will draw on the</w:t>
            </w:r>
            <w:r>
              <w:rPr>
                <w:rFonts w:asciiTheme="majorHAnsi" w:hAnsiTheme="majorHAnsi"/>
              </w:rPr>
              <w:t>se</w:t>
            </w:r>
            <w:r w:rsidRPr="009636EF">
              <w:rPr>
                <w:rFonts w:asciiTheme="majorHAnsi" w:hAnsiTheme="majorHAnsi"/>
              </w:rPr>
              <w:t xml:space="preserve"> approaches trialled by Wirral Met maths team whilst teaching Functional and GCSE Maths to vocational students.</w:t>
            </w:r>
            <w:r>
              <w:rPr>
                <w:rFonts w:asciiTheme="majorHAnsi" w:hAnsiTheme="majorHAnsi"/>
              </w:rPr>
              <w:t xml:space="preserve"> Th</w:t>
            </w:r>
            <w:r w:rsidRPr="009636EF">
              <w:rPr>
                <w:rFonts w:asciiTheme="majorHAnsi" w:hAnsiTheme="majorHAnsi"/>
              </w:rPr>
              <w:t>e approaches themselves draw on the fruits of longstanding collaborative partnerships with MMU, MEI and NCETM</w:t>
            </w:r>
            <w:r>
              <w:rPr>
                <w:rFonts w:asciiTheme="majorHAnsi" w:hAnsiTheme="majorHAnsi"/>
              </w:rPr>
              <w:t>.</w:t>
            </w:r>
          </w:p>
          <w:p w:rsidR="006C2A36" w:rsidRDefault="006C2A36" w:rsidP="00592B6D">
            <w:pPr>
              <w:widowControl w:val="0"/>
              <w:autoSpaceDE w:val="0"/>
              <w:autoSpaceDN w:val="0"/>
              <w:adjustRightInd w:val="0"/>
              <w:rPr>
                <w:rFonts w:asciiTheme="majorHAnsi" w:hAnsiTheme="majorHAnsi"/>
              </w:rPr>
            </w:pPr>
          </w:p>
          <w:p w:rsidR="006C2A36" w:rsidRPr="009636EF" w:rsidRDefault="006C2A36" w:rsidP="00592B6D">
            <w:pPr>
              <w:shd w:val="clear" w:color="auto" w:fill="FFFFFF"/>
              <w:spacing w:line="270" w:lineRule="atLeast"/>
              <w:jc w:val="center"/>
              <w:textAlignment w:val="center"/>
              <w:outlineLvl w:val="3"/>
              <w:rPr>
                <w:rFonts w:asciiTheme="majorHAnsi" w:eastAsia="Times New Roman" w:hAnsiTheme="majorHAnsi" w:cs="Times New Roman"/>
                <w:bCs/>
                <w:color w:val="000000"/>
                <w:u w:val="single"/>
              </w:rPr>
            </w:pPr>
            <w:r w:rsidRPr="009636EF">
              <w:rPr>
                <w:rFonts w:asciiTheme="majorHAnsi" w:hAnsiTheme="majorHAnsi"/>
                <w:b/>
                <w:u w:val="single"/>
              </w:rPr>
              <w:t xml:space="preserve">Heather </w:t>
            </w:r>
            <w:proofErr w:type="spellStart"/>
            <w:r w:rsidRPr="009636EF">
              <w:rPr>
                <w:rFonts w:asciiTheme="majorHAnsi" w:hAnsiTheme="majorHAnsi"/>
                <w:b/>
                <w:u w:val="single"/>
              </w:rPr>
              <w:t>Aspinwall</w:t>
            </w:r>
            <w:proofErr w:type="spellEnd"/>
          </w:p>
          <w:p w:rsidR="006C2A36" w:rsidRPr="009636EF" w:rsidRDefault="00282E3F" w:rsidP="00592B6D">
            <w:pPr>
              <w:shd w:val="clear" w:color="auto" w:fill="FFFFFF"/>
              <w:spacing w:line="270" w:lineRule="atLeast"/>
              <w:jc w:val="center"/>
              <w:textAlignment w:val="center"/>
              <w:outlineLvl w:val="3"/>
              <w:rPr>
                <w:rFonts w:asciiTheme="majorHAnsi" w:eastAsia="Times New Roman" w:hAnsiTheme="majorHAnsi" w:cs="Times New Roman"/>
                <w:b/>
                <w:i/>
                <w:color w:val="434649"/>
              </w:rPr>
            </w:pPr>
            <w:hyperlink r:id="rId4" w:tooltip="Learn more about this title" w:history="1">
              <w:r w:rsidR="006C2A36" w:rsidRPr="009636EF">
                <w:rPr>
                  <w:rFonts w:asciiTheme="majorHAnsi" w:eastAsia="Times New Roman" w:hAnsiTheme="majorHAnsi" w:cs="Times New Roman"/>
                  <w:b/>
                  <w:bCs/>
                  <w:i/>
                  <w:color w:val="000000"/>
                  <w:bdr w:val="none" w:sz="0" w:space="0" w:color="auto" w:frame="1"/>
                </w:rPr>
                <w:t>Curriculum Manager Applied Science &amp; Mathematics</w:t>
              </w:r>
            </w:hyperlink>
            <w:r w:rsidR="006C2A36" w:rsidRPr="009636EF">
              <w:rPr>
                <w:rFonts w:asciiTheme="majorHAnsi" w:eastAsia="Times New Roman" w:hAnsiTheme="majorHAnsi" w:cs="Times New Roman"/>
                <w:b/>
                <w:bCs/>
                <w:i/>
                <w:color w:val="000000"/>
              </w:rPr>
              <w:t xml:space="preserve">, </w:t>
            </w:r>
            <w:bookmarkStart w:id="1" w:name="company"/>
            <w:r w:rsidR="006C2A36" w:rsidRPr="009636EF">
              <w:rPr>
                <w:rFonts w:asciiTheme="majorHAnsi" w:eastAsia="Times New Roman" w:hAnsiTheme="majorHAnsi" w:cs="Times New Roman"/>
                <w:b/>
                <w:i/>
                <w:color w:val="434649"/>
              </w:rPr>
              <w:fldChar w:fldCharType="begin"/>
            </w:r>
            <w:r w:rsidR="006C2A36" w:rsidRPr="009636EF">
              <w:rPr>
                <w:rFonts w:asciiTheme="majorHAnsi" w:eastAsia="Times New Roman" w:hAnsiTheme="majorHAnsi" w:cs="Times New Roman"/>
                <w:b/>
                <w:i/>
                <w:color w:val="434649"/>
              </w:rPr>
              <w:instrText xml:space="preserve"> HYPERLINK "https://www.linkedin.com/vsearch/p?company=Wirral+Met+College&amp;trk=prof-exp-company-name" \o "Find others who have worked at this company" </w:instrText>
            </w:r>
            <w:r w:rsidR="006C2A36" w:rsidRPr="009636EF">
              <w:rPr>
                <w:rFonts w:asciiTheme="majorHAnsi" w:eastAsia="Times New Roman" w:hAnsiTheme="majorHAnsi" w:cs="Times New Roman"/>
                <w:b/>
                <w:i/>
                <w:color w:val="434649"/>
              </w:rPr>
              <w:fldChar w:fldCharType="separate"/>
            </w:r>
            <w:r w:rsidR="006C2A36" w:rsidRPr="009636EF">
              <w:rPr>
                <w:rFonts w:asciiTheme="majorHAnsi" w:eastAsia="Times New Roman" w:hAnsiTheme="majorHAnsi" w:cs="Times New Roman"/>
                <w:b/>
                <w:i/>
                <w:color w:val="434649"/>
                <w:bdr w:val="none" w:sz="0" w:space="0" w:color="auto" w:frame="1"/>
              </w:rPr>
              <w:t>Wirral Met College</w:t>
            </w:r>
            <w:r w:rsidR="006C2A36" w:rsidRPr="009636EF">
              <w:rPr>
                <w:rFonts w:asciiTheme="majorHAnsi" w:eastAsia="Times New Roman" w:hAnsiTheme="majorHAnsi" w:cs="Times New Roman"/>
                <w:b/>
                <w:i/>
                <w:color w:val="434649"/>
              </w:rPr>
              <w:fldChar w:fldCharType="end"/>
            </w:r>
            <w:bookmarkEnd w:id="1"/>
          </w:p>
          <w:p w:rsidR="006C2A36" w:rsidRPr="009636EF" w:rsidRDefault="006C2A36" w:rsidP="00592B6D">
            <w:pPr>
              <w:rPr>
                <w:rFonts w:asciiTheme="majorHAnsi" w:eastAsia="Times New Roman" w:hAnsiTheme="majorHAnsi" w:cstheme="minorHAnsi"/>
                <w:iCs/>
                <w:color w:val="000000"/>
                <w:lang w:eastAsia="en-GB"/>
              </w:rPr>
            </w:pPr>
          </w:p>
          <w:p w:rsidR="006C2A36" w:rsidRPr="009636EF" w:rsidRDefault="006C2A36" w:rsidP="00592B6D">
            <w:pPr>
              <w:rPr>
                <w:rFonts w:asciiTheme="majorHAnsi" w:eastAsia="Times New Roman" w:hAnsiTheme="majorHAnsi" w:cstheme="minorHAnsi"/>
                <w:iCs/>
                <w:color w:val="000000"/>
                <w:lang w:eastAsia="en-GB"/>
              </w:rPr>
            </w:pPr>
            <w:r w:rsidRPr="009636EF">
              <w:rPr>
                <w:rFonts w:asciiTheme="majorHAnsi" w:eastAsia="Times New Roman" w:hAnsiTheme="majorHAnsi" w:cstheme="minorHAnsi"/>
                <w:iCs/>
                <w:color w:val="000000"/>
                <w:lang w:eastAsia="en-GB"/>
              </w:rPr>
              <w:t>Heather has taught maths in FE since 1988. She has been subject leader in both Skills for Life and Applied Science and Mathematics. Until recently she was College Manager for Mathematics and STEM, bringing maths together across the College. She is currently Director of Science and Mathematics.</w:t>
            </w:r>
          </w:p>
          <w:p w:rsidR="006C2A36" w:rsidRDefault="006C2A36" w:rsidP="00592B6D"/>
        </w:tc>
      </w:tr>
      <w:tr w:rsidR="006C2A36" w:rsidTr="006C2A36">
        <w:tc>
          <w:tcPr>
            <w:tcW w:w="10205" w:type="dxa"/>
          </w:tcPr>
          <w:p w:rsidR="006C2A36" w:rsidRDefault="006C2A36" w:rsidP="00592B6D">
            <w:pPr>
              <w:pStyle w:val="Default"/>
              <w:jc w:val="center"/>
              <w:rPr>
                <w:rFonts w:asciiTheme="majorHAnsi" w:hAnsiTheme="majorHAnsi" w:cs="Arial"/>
                <w:b/>
                <w:iCs/>
                <w:color w:val="000000" w:themeColor="text1"/>
                <w:u w:val="single"/>
                <w:lang w:val="en-US"/>
              </w:rPr>
            </w:pPr>
            <w:r>
              <w:rPr>
                <w:rFonts w:asciiTheme="majorHAnsi" w:hAnsiTheme="majorHAnsi" w:cs="Arial"/>
                <w:b/>
                <w:iCs/>
                <w:color w:val="000000" w:themeColor="text1"/>
                <w:u w:val="single"/>
                <w:lang w:val="en-US"/>
              </w:rPr>
              <w:t>Dyslexia or dyscalculia?</w:t>
            </w:r>
          </w:p>
          <w:p w:rsidR="006C2A36" w:rsidRPr="009636EF" w:rsidRDefault="006C2A36" w:rsidP="00592B6D">
            <w:pPr>
              <w:pStyle w:val="Default"/>
              <w:jc w:val="center"/>
              <w:rPr>
                <w:rFonts w:asciiTheme="majorHAnsi" w:hAnsiTheme="majorHAnsi" w:cs="Arial"/>
                <w:b/>
                <w:iCs/>
                <w:color w:val="000000" w:themeColor="text1"/>
                <w:u w:val="single"/>
                <w:lang w:val="en-US"/>
              </w:rPr>
            </w:pPr>
          </w:p>
          <w:p w:rsidR="006C2A36" w:rsidRPr="008B07AE" w:rsidRDefault="006C2A36" w:rsidP="00592B6D">
            <w:pPr>
              <w:pStyle w:val="Default"/>
              <w:rPr>
                <w:rFonts w:asciiTheme="majorHAnsi" w:hAnsiTheme="majorHAnsi" w:cs="Arial"/>
                <w:iCs/>
                <w:color w:val="000000" w:themeColor="text1"/>
                <w:sz w:val="22"/>
                <w:szCs w:val="22"/>
                <w:lang w:val="en-US"/>
              </w:rPr>
            </w:pPr>
            <w:r>
              <w:rPr>
                <w:rFonts w:asciiTheme="majorHAnsi" w:hAnsiTheme="majorHAnsi" w:cs="Arial"/>
                <w:iCs/>
                <w:color w:val="000000" w:themeColor="text1"/>
                <w:sz w:val="22"/>
                <w:szCs w:val="22"/>
                <w:lang w:val="en-US"/>
              </w:rPr>
              <w:t>Specific Learning Difficulties (</w:t>
            </w:r>
            <w:proofErr w:type="spellStart"/>
            <w:r w:rsidRPr="008B07AE">
              <w:rPr>
                <w:rFonts w:asciiTheme="majorHAnsi" w:hAnsiTheme="majorHAnsi" w:cs="Arial"/>
                <w:iCs/>
                <w:color w:val="000000" w:themeColor="text1"/>
                <w:sz w:val="22"/>
                <w:szCs w:val="22"/>
                <w:lang w:val="en-US"/>
              </w:rPr>
              <w:t>SpLDs</w:t>
            </w:r>
            <w:proofErr w:type="spellEnd"/>
            <w:r>
              <w:rPr>
                <w:rFonts w:asciiTheme="majorHAnsi" w:hAnsiTheme="majorHAnsi" w:cs="Arial"/>
                <w:iCs/>
                <w:color w:val="000000" w:themeColor="text1"/>
                <w:sz w:val="22"/>
                <w:szCs w:val="22"/>
                <w:lang w:val="en-US"/>
              </w:rPr>
              <w:t>)</w:t>
            </w:r>
            <w:r w:rsidRPr="008B07AE">
              <w:rPr>
                <w:rFonts w:asciiTheme="majorHAnsi" w:hAnsiTheme="majorHAnsi" w:cs="Arial"/>
                <w:iCs/>
                <w:color w:val="000000" w:themeColor="text1"/>
                <w:sz w:val="22"/>
                <w:szCs w:val="22"/>
                <w:lang w:val="en-US"/>
              </w:rPr>
              <w:t xml:space="preserve"> on mathematics learning. In particular</w:t>
            </w:r>
            <w:r>
              <w:rPr>
                <w:rFonts w:asciiTheme="majorHAnsi" w:hAnsiTheme="majorHAnsi" w:cs="Arial"/>
                <w:iCs/>
                <w:color w:val="000000" w:themeColor="text1"/>
                <w:sz w:val="22"/>
                <w:szCs w:val="22"/>
                <w:lang w:val="en-US"/>
              </w:rPr>
              <w:t>,</w:t>
            </w:r>
            <w:r w:rsidRPr="008B07AE">
              <w:rPr>
                <w:rFonts w:asciiTheme="majorHAnsi" w:hAnsiTheme="majorHAnsi" w:cs="Arial"/>
                <w:iCs/>
                <w:color w:val="000000" w:themeColor="text1"/>
                <w:sz w:val="22"/>
                <w:szCs w:val="22"/>
                <w:lang w:val="en-US"/>
              </w:rPr>
              <w:t xml:space="preserve"> the question 'dyslexia' or dyscalculia?' will be discussed, focusing on differences and commonalities. The particular challenges that students with </w:t>
            </w:r>
            <w:proofErr w:type="spellStart"/>
            <w:r w:rsidRPr="008B07AE">
              <w:rPr>
                <w:rFonts w:asciiTheme="majorHAnsi" w:hAnsiTheme="majorHAnsi" w:cs="Arial"/>
                <w:iCs/>
                <w:color w:val="000000" w:themeColor="text1"/>
                <w:sz w:val="22"/>
                <w:szCs w:val="22"/>
                <w:lang w:val="en-US"/>
              </w:rPr>
              <w:t>SpLD</w:t>
            </w:r>
            <w:proofErr w:type="spellEnd"/>
            <w:r w:rsidRPr="008B07AE">
              <w:rPr>
                <w:rFonts w:asciiTheme="majorHAnsi" w:hAnsiTheme="majorHAnsi" w:cs="Arial"/>
                <w:iCs/>
                <w:color w:val="000000" w:themeColor="text1"/>
                <w:sz w:val="22"/>
                <w:szCs w:val="22"/>
                <w:lang w:val="en-US"/>
              </w:rPr>
              <w:t xml:space="preserve"> face will be considered and basic strategies, resources and approaches which help teachers, tutors and students to meet these challenges will be explored.</w:t>
            </w:r>
          </w:p>
          <w:p w:rsidR="006C2A36" w:rsidRDefault="006C2A36" w:rsidP="00592B6D">
            <w:pPr>
              <w:pStyle w:val="Default"/>
              <w:rPr>
                <w:rFonts w:asciiTheme="majorHAnsi" w:hAnsiTheme="majorHAnsi" w:cs="Arial"/>
                <w:iCs/>
                <w:color w:val="000000" w:themeColor="text1"/>
                <w:lang w:val="en-US"/>
              </w:rPr>
            </w:pPr>
          </w:p>
          <w:p w:rsidR="006C2A36" w:rsidRPr="009636EF" w:rsidRDefault="006C2A36" w:rsidP="00592B6D">
            <w:pPr>
              <w:pStyle w:val="Default"/>
              <w:jc w:val="center"/>
              <w:rPr>
                <w:rFonts w:asciiTheme="majorHAnsi" w:hAnsiTheme="majorHAnsi" w:cs="Arial"/>
                <w:b/>
                <w:iCs/>
                <w:color w:val="000000" w:themeColor="text1"/>
                <w:u w:val="single"/>
                <w:lang w:val="en-US"/>
              </w:rPr>
            </w:pPr>
            <w:r w:rsidRPr="009636EF">
              <w:rPr>
                <w:rFonts w:asciiTheme="majorHAnsi" w:hAnsiTheme="majorHAnsi" w:cs="Arial"/>
                <w:b/>
                <w:iCs/>
                <w:color w:val="000000" w:themeColor="text1"/>
                <w:u w:val="single"/>
                <w:lang w:val="en-US"/>
              </w:rPr>
              <w:t>June Massey</w:t>
            </w:r>
          </w:p>
          <w:p w:rsidR="006C2A36" w:rsidRDefault="006C2A36" w:rsidP="00592B6D">
            <w:pPr>
              <w:jc w:val="center"/>
              <w:rPr>
                <w:rFonts w:asciiTheme="majorHAnsi" w:hAnsiTheme="majorHAnsi" w:cs="Helvetica"/>
                <w:b/>
                <w:i/>
                <w:lang w:val="en-US"/>
              </w:rPr>
            </w:pPr>
            <w:r w:rsidRPr="000E63D3">
              <w:rPr>
                <w:rFonts w:asciiTheme="majorHAnsi" w:hAnsiTheme="majorHAnsi" w:cs="Helvetica"/>
                <w:b/>
                <w:i/>
                <w:lang w:val="en-US"/>
              </w:rPr>
              <w:t xml:space="preserve">Freelance consultant, trainer, </w:t>
            </w:r>
            <w:proofErr w:type="spellStart"/>
            <w:r>
              <w:rPr>
                <w:rFonts w:asciiTheme="majorHAnsi" w:hAnsiTheme="majorHAnsi" w:cs="Helvetica"/>
                <w:b/>
                <w:i/>
                <w:lang w:val="en-US"/>
              </w:rPr>
              <w:t>SpLD</w:t>
            </w:r>
            <w:proofErr w:type="spellEnd"/>
            <w:r>
              <w:rPr>
                <w:rFonts w:asciiTheme="majorHAnsi" w:hAnsiTheme="majorHAnsi" w:cs="Helvetica"/>
                <w:b/>
                <w:i/>
                <w:lang w:val="en-US"/>
              </w:rPr>
              <w:t xml:space="preserve"> </w:t>
            </w:r>
            <w:r w:rsidRPr="000E63D3">
              <w:rPr>
                <w:rFonts w:asciiTheme="majorHAnsi" w:hAnsiTheme="majorHAnsi" w:cs="Helvetica"/>
                <w:b/>
                <w:i/>
                <w:lang w:val="en-US"/>
              </w:rPr>
              <w:t xml:space="preserve"> assessor and tutor</w:t>
            </w:r>
          </w:p>
          <w:p w:rsidR="006C2A36" w:rsidRPr="00D15ACA" w:rsidRDefault="006C2A36" w:rsidP="00592B6D">
            <w:pPr>
              <w:jc w:val="center"/>
              <w:rPr>
                <w:rFonts w:asciiTheme="majorHAnsi" w:hAnsiTheme="majorHAnsi" w:cs="Helvetica"/>
                <w:b/>
                <w:i/>
                <w:lang w:val="en-US"/>
              </w:rPr>
            </w:pPr>
          </w:p>
          <w:p w:rsidR="006C2A36" w:rsidRPr="008B07AE" w:rsidRDefault="006C2A36" w:rsidP="00592B6D">
            <w:pPr>
              <w:pStyle w:val="Default"/>
              <w:rPr>
                <w:rFonts w:asciiTheme="majorHAnsi" w:hAnsiTheme="majorHAnsi" w:cs="Arial"/>
                <w:iCs/>
                <w:color w:val="000000" w:themeColor="text1"/>
                <w:sz w:val="22"/>
                <w:szCs w:val="22"/>
                <w:lang w:val="en-US"/>
              </w:rPr>
            </w:pPr>
            <w:r w:rsidRPr="008B07AE">
              <w:rPr>
                <w:rFonts w:asciiTheme="majorHAnsi" w:hAnsiTheme="majorHAnsi" w:cs="Arial"/>
                <w:iCs/>
                <w:color w:val="000000" w:themeColor="text1"/>
                <w:sz w:val="22"/>
                <w:szCs w:val="22"/>
                <w:lang w:val="en-US"/>
              </w:rPr>
              <w:t xml:space="preserve">June </w:t>
            </w:r>
            <w:proofErr w:type="spellStart"/>
            <w:r w:rsidRPr="008B07AE">
              <w:rPr>
                <w:rFonts w:asciiTheme="majorHAnsi" w:hAnsiTheme="majorHAnsi" w:cs="Arial"/>
                <w:iCs/>
                <w:color w:val="000000" w:themeColor="text1"/>
                <w:sz w:val="22"/>
                <w:szCs w:val="22"/>
                <w:lang w:val="en-US"/>
              </w:rPr>
              <w:t>specialises</w:t>
            </w:r>
            <w:proofErr w:type="spellEnd"/>
            <w:r w:rsidRPr="008B07AE">
              <w:rPr>
                <w:rFonts w:asciiTheme="majorHAnsi" w:hAnsiTheme="majorHAnsi" w:cs="Arial"/>
                <w:iCs/>
                <w:color w:val="000000" w:themeColor="text1"/>
                <w:sz w:val="22"/>
                <w:szCs w:val="22"/>
                <w:lang w:val="en-US"/>
              </w:rPr>
              <w:t xml:space="preserve"> in the impact of dyscalculia and other </w:t>
            </w:r>
            <w:proofErr w:type="spellStart"/>
            <w:r w:rsidRPr="008B07AE">
              <w:rPr>
                <w:rFonts w:asciiTheme="majorHAnsi" w:hAnsiTheme="majorHAnsi" w:cs="Arial"/>
                <w:iCs/>
                <w:color w:val="000000" w:themeColor="text1"/>
                <w:sz w:val="22"/>
                <w:szCs w:val="22"/>
                <w:lang w:val="en-US"/>
              </w:rPr>
              <w:t>SpLDs</w:t>
            </w:r>
            <w:proofErr w:type="spellEnd"/>
            <w:r w:rsidRPr="008B07AE">
              <w:rPr>
                <w:rFonts w:asciiTheme="majorHAnsi" w:hAnsiTheme="majorHAnsi" w:cs="Arial"/>
                <w:iCs/>
                <w:color w:val="000000" w:themeColor="text1"/>
                <w:sz w:val="22"/>
                <w:szCs w:val="22"/>
                <w:lang w:val="en-US"/>
              </w:rPr>
              <w:t xml:space="preserve"> (including dyslexia and dyspraxia) on mathematics learning.  She has presented training days and workshops in a variety of settings, including the British Dyslexia Association International Conference, FE colleges, the University of Cambridge and NANAMIC. She is the author of "Meeting the Needs of Students with Dyslexia".</w:t>
            </w:r>
          </w:p>
          <w:p w:rsidR="006C2A36" w:rsidRDefault="006C2A36" w:rsidP="00592B6D"/>
        </w:tc>
      </w:tr>
    </w:tbl>
    <w:p w:rsidR="006C2A36" w:rsidRDefault="006C2A36" w:rsidP="006C2A36">
      <w:r>
        <w:br w:type="page"/>
      </w:r>
    </w:p>
    <w:tbl>
      <w:tblPr>
        <w:tblStyle w:val="TableGrid"/>
        <w:tblpPr w:leftFromText="180" w:rightFromText="180" w:horzAnchor="margin" w:tblpY="675"/>
        <w:tblW w:w="10205" w:type="dxa"/>
        <w:tblLook w:val="04A0" w:firstRow="1" w:lastRow="0" w:firstColumn="1" w:lastColumn="0" w:noHBand="0" w:noVBand="1"/>
      </w:tblPr>
      <w:tblGrid>
        <w:gridCol w:w="10205"/>
      </w:tblGrid>
      <w:tr w:rsidR="006C2A36" w:rsidTr="006C2A36">
        <w:tc>
          <w:tcPr>
            <w:tcW w:w="10205" w:type="dxa"/>
          </w:tcPr>
          <w:p w:rsidR="006C2A36" w:rsidRDefault="006C2A36" w:rsidP="00592B6D">
            <w:pPr>
              <w:jc w:val="center"/>
              <w:rPr>
                <w:rFonts w:asciiTheme="majorHAnsi" w:eastAsia="Calibri" w:hAnsiTheme="majorHAnsi" w:cs="Arial"/>
                <w:b/>
                <w:iCs/>
                <w:color w:val="000000" w:themeColor="text1"/>
                <w:sz w:val="24"/>
                <w:szCs w:val="24"/>
                <w:u w:val="single"/>
                <w:lang w:val="en-US" w:eastAsia="en-GB"/>
              </w:rPr>
            </w:pPr>
            <w:r w:rsidRPr="009636EF">
              <w:rPr>
                <w:rFonts w:asciiTheme="majorHAnsi" w:eastAsia="Calibri" w:hAnsiTheme="majorHAnsi" w:cs="Arial"/>
                <w:b/>
                <w:iCs/>
                <w:color w:val="000000" w:themeColor="text1"/>
                <w:sz w:val="24"/>
                <w:szCs w:val="24"/>
                <w:u w:val="single"/>
                <w:lang w:val="en-US" w:eastAsia="en-GB"/>
              </w:rPr>
              <w:lastRenderedPageBreak/>
              <w:t>Improving mathematics learning in Stoke/at Stoke College</w:t>
            </w:r>
          </w:p>
          <w:p w:rsidR="006C2A36" w:rsidRPr="009636EF" w:rsidRDefault="006C2A36" w:rsidP="00592B6D">
            <w:pPr>
              <w:jc w:val="center"/>
              <w:rPr>
                <w:rFonts w:asciiTheme="majorHAnsi" w:eastAsia="Calibri" w:hAnsiTheme="majorHAnsi" w:cs="Arial"/>
                <w:b/>
                <w:iCs/>
                <w:color w:val="000000" w:themeColor="text1"/>
                <w:sz w:val="24"/>
                <w:szCs w:val="24"/>
                <w:u w:val="single"/>
                <w:lang w:val="en-US" w:eastAsia="en-GB"/>
              </w:rPr>
            </w:pPr>
          </w:p>
          <w:p w:rsidR="006C2A36" w:rsidRPr="008523CA" w:rsidRDefault="006C2A36" w:rsidP="00592B6D">
            <w:pPr>
              <w:pStyle w:val="Default"/>
              <w:rPr>
                <w:rFonts w:asciiTheme="majorHAnsi" w:hAnsiTheme="majorHAnsi" w:cs="Arial"/>
                <w:iCs/>
                <w:color w:val="000000" w:themeColor="text1"/>
                <w:sz w:val="22"/>
                <w:szCs w:val="22"/>
                <w:lang w:val="en-US"/>
              </w:rPr>
            </w:pPr>
            <w:r w:rsidRPr="008523CA">
              <w:rPr>
                <w:rFonts w:asciiTheme="majorHAnsi" w:hAnsiTheme="majorHAnsi" w:cs="Arial"/>
                <w:iCs/>
                <w:color w:val="000000" w:themeColor="text1"/>
                <w:sz w:val="22"/>
                <w:szCs w:val="22"/>
                <w:lang w:val="en-US"/>
              </w:rPr>
              <w:t xml:space="preserve">The mathematics team at Stoke-on-Trent are an experienced and innovative group, grappling with the difficult challenges presented by students studying functional </w:t>
            </w:r>
            <w:proofErr w:type="spellStart"/>
            <w:r w:rsidRPr="008523CA">
              <w:rPr>
                <w:rFonts w:asciiTheme="majorHAnsi" w:hAnsiTheme="majorHAnsi" w:cs="Arial"/>
                <w:iCs/>
                <w:color w:val="000000" w:themeColor="text1"/>
                <w:sz w:val="22"/>
                <w:szCs w:val="22"/>
                <w:lang w:val="en-US"/>
              </w:rPr>
              <w:t>maths</w:t>
            </w:r>
            <w:proofErr w:type="spellEnd"/>
            <w:r w:rsidRPr="008523CA">
              <w:rPr>
                <w:rFonts w:asciiTheme="majorHAnsi" w:hAnsiTheme="majorHAnsi" w:cs="Arial"/>
                <w:iCs/>
                <w:color w:val="000000" w:themeColor="text1"/>
                <w:sz w:val="22"/>
                <w:szCs w:val="22"/>
                <w:lang w:val="en-US"/>
              </w:rPr>
              <w:t xml:space="preserve"> or re-sitting their GCSE.  Martin and the team will present a session demonstrating the use of growth mindsets, bar modelling and manipulatives.  You will get a chance to work with Dienes blocks, multilink cubes and to do some practical trigonometry using measuring equipment.</w:t>
            </w:r>
            <w:r>
              <w:rPr>
                <w:rFonts w:asciiTheme="majorHAnsi" w:hAnsiTheme="majorHAnsi" w:cs="Arial"/>
                <w:iCs/>
                <w:color w:val="000000" w:themeColor="text1"/>
                <w:sz w:val="22"/>
                <w:szCs w:val="22"/>
                <w:lang w:val="en-US"/>
              </w:rPr>
              <w:t xml:space="preserve"> This </w:t>
            </w:r>
            <w:r w:rsidRPr="008523CA">
              <w:rPr>
                <w:rFonts w:asciiTheme="majorHAnsi" w:hAnsiTheme="majorHAnsi" w:cs="Arial"/>
                <w:iCs/>
                <w:color w:val="000000" w:themeColor="text1"/>
                <w:sz w:val="22"/>
                <w:szCs w:val="22"/>
                <w:lang w:val="en-US"/>
              </w:rPr>
              <w:t xml:space="preserve">interactive presentation </w:t>
            </w:r>
            <w:r>
              <w:rPr>
                <w:rFonts w:asciiTheme="majorHAnsi" w:hAnsiTheme="majorHAnsi" w:cs="Arial"/>
                <w:iCs/>
                <w:color w:val="000000" w:themeColor="text1"/>
                <w:sz w:val="22"/>
                <w:szCs w:val="22"/>
                <w:lang w:val="en-US"/>
              </w:rPr>
              <w:t>will outline</w:t>
            </w:r>
            <w:r w:rsidRPr="008523CA">
              <w:rPr>
                <w:rFonts w:asciiTheme="majorHAnsi" w:hAnsiTheme="majorHAnsi" w:cs="Arial"/>
                <w:iCs/>
                <w:color w:val="000000" w:themeColor="text1"/>
                <w:sz w:val="22"/>
                <w:szCs w:val="22"/>
                <w:lang w:val="en-US"/>
              </w:rPr>
              <w:t xml:space="preserve"> ways in which staff at the college have worked together successfully (and sometimes less successfully) to meet the challenges presented by their learners.</w:t>
            </w:r>
          </w:p>
          <w:p w:rsidR="006C2A36" w:rsidRPr="008523CA" w:rsidRDefault="006C2A36" w:rsidP="00592B6D">
            <w:pPr>
              <w:pStyle w:val="Default"/>
              <w:rPr>
                <w:rFonts w:asciiTheme="majorHAnsi" w:hAnsiTheme="majorHAnsi" w:cs="Arial"/>
                <w:iCs/>
                <w:color w:val="000000" w:themeColor="text1"/>
                <w:sz w:val="22"/>
                <w:szCs w:val="22"/>
                <w:lang w:val="en-US"/>
              </w:rPr>
            </w:pPr>
          </w:p>
          <w:p w:rsidR="006C2A36" w:rsidRPr="009636EF" w:rsidRDefault="006C2A36" w:rsidP="00592B6D">
            <w:pPr>
              <w:jc w:val="center"/>
              <w:rPr>
                <w:rFonts w:asciiTheme="majorHAnsi" w:eastAsia="Calibri" w:hAnsiTheme="majorHAnsi" w:cs="Arial"/>
                <w:b/>
                <w:iCs/>
                <w:color w:val="000000" w:themeColor="text1"/>
                <w:sz w:val="24"/>
                <w:szCs w:val="24"/>
                <w:u w:val="single"/>
                <w:lang w:val="en-US" w:eastAsia="en-GB"/>
              </w:rPr>
            </w:pPr>
            <w:r w:rsidRPr="009636EF">
              <w:rPr>
                <w:rFonts w:asciiTheme="majorHAnsi" w:eastAsia="Calibri" w:hAnsiTheme="majorHAnsi" w:cs="Arial"/>
                <w:b/>
                <w:iCs/>
                <w:color w:val="000000" w:themeColor="text1"/>
                <w:sz w:val="24"/>
                <w:szCs w:val="24"/>
                <w:u w:val="single"/>
                <w:lang w:val="en-US" w:eastAsia="en-GB"/>
              </w:rPr>
              <w:t>Martin Newton</w:t>
            </w:r>
          </w:p>
          <w:p w:rsidR="006C2A36" w:rsidRPr="009636EF" w:rsidRDefault="006C2A36" w:rsidP="00592B6D">
            <w:pPr>
              <w:widowControl w:val="0"/>
              <w:autoSpaceDE w:val="0"/>
              <w:autoSpaceDN w:val="0"/>
              <w:adjustRightInd w:val="0"/>
              <w:jc w:val="center"/>
              <w:rPr>
                <w:rFonts w:asciiTheme="majorHAnsi" w:eastAsia="Calibri" w:hAnsiTheme="majorHAnsi" w:cs="Arial"/>
                <w:b/>
                <w:i/>
                <w:iCs/>
                <w:color w:val="000000" w:themeColor="text1"/>
                <w:sz w:val="24"/>
                <w:szCs w:val="24"/>
                <w:lang w:val="en-US" w:eastAsia="en-GB"/>
              </w:rPr>
            </w:pPr>
            <w:proofErr w:type="spellStart"/>
            <w:r w:rsidRPr="009636EF">
              <w:rPr>
                <w:rFonts w:asciiTheme="majorHAnsi" w:eastAsia="Calibri" w:hAnsiTheme="majorHAnsi" w:cs="Arial"/>
                <w:b/>
                <w:i/>
                <w:iCs/>
                <w:color w:val="000000" w:themeColor="text1"/>
                <w:sz w:val="24"/>
                <w:szCs w:val="24"/>
                <w:lang w:val="en-US" w:eastAsia="en-GB"/>
              </w:rPr>
              <w:t>Maths</w:t>
            </w:r>
            <w:proofErr w:type="spellEnd"/>
            <w:r w:rsidRPr="009636EF">
              <w:rPr>
                <w:rFonts w:asciiTheme="majorHAnsi" w:eastAsia="Calibri" w:hAnsiTheme="majorHAnsi" w:cs="Arial"/>
                <w:b/>
                <w:i/>
                <w:iCs/>
                <w:color w:val="000000" w:themeColor="text1"/>
                <w:sz w:val="24"/>
                <w:szCs w:val="24"/>
                <w:lang w:val="en-US" w:eastAsia="en-GB"/>
              </w:rPr>
              <w:t xml:space="preserve"> PD lead, Stoke-on-Trent College</w:t>
            </w:r>
          </w:p>
          <w:p w:rsidR="006C2A36" w:rsidRDefault="006C2A36" w:rsidP="00592B6D">
            <w:pPr>
              <w:rPr>
                <w:rFonts w:ascii="Helvetica" w:hAnsi="Helvetica" w:cs="Helvetica"/>
                <w:lang w:val="en-US"/>
              </w:rPr>
            </w:pPr>
          </w:p>
          <w:p w:rsidR="006C2A36" w:rsidRPr="008523CA" w:rsidRDefault="006C2A36" w:rsidP="00592B6D">
            <w:pPr>
              <w:pStyle w:val="Default"/>
              <w:rPr>
                <w:rFonts w:asciiTheme="majorHAnsi" w:hAnsiTheme="majorHAnsi" w:cs="Arial"/>
                <w:iCs/>
                <w:color w:val="000000" w:themeColor="text1"/>
                <w:sz w:val="22"/>
                <w:szCs w:val="22"/>
                <w:lang w:val="en-US"/>
              </w:rPr>
            </w:pPr>
            <w:r w:rsidRPr="008523CA">
              <w:rPr>
                <w:rFonts w:asciiTheme="majorHAnsi" w:hAnsiTheme="majorHAnsi" w:cs="Arial"/>
                <w:iCs/>
                <w:color w:val="000000" w:themeColor="text1"/>
                <w:sz w:val="22"/>
                <w:szCs w:val="22"/>
                <w:lang w:val="en-US"/>
              </w:rPr>
              <w:t xml:space="preserve">Martin leads the </w:t>
            </w:r>
            <w:proofErr w:type="spellStart"/>
            <w:r w:rsidRPr="008523CA">
              <w:rPr>
                <w:rFonts w:asciiTheme="majorHAnsi" w:hAnsiTheme="majorHAnsi" w:cs="Arial"/>
                <w:iCs/>
                <w:color w:val="000000" w:themeColor="text1"/>
                <w:sz w:val="22"/>
                <w:szCs w:val="22"/>
                <w:lang w:val="en-US"/>
              </w:rPr>
              <w:t>maths</w:t>
            </w:r>
            <w:proofErr w:type="spellEnd"/>
            <w:r w:rsidRPr="008523CA">
              <w:rPr>
                <w:rFonts w:asciiTheme="majorHAnsi" w:hAnsiTheme="majorHAnsi" w:cs="Arial"/>
                <w:iCs/>
                <w:color w:val="000000" w:themeColor="text1"/>
                <w:sz w:val="22"/>
                <w:szCs w:val="22"/>
                <w:lang w:val="en-US"/>
              </w:rPr>
              <w:t xml:space="preserve"> team at Stoke-on-Trent College. He also works as a NCETM PD Lead and runs courses for ETF. He has led a number of initiatives at the College including becoming an early adopter of Core </w:t>
            </w:r>
            <w:proofErr w:type="spellStart"/>
            <w:r w:rsidRPr="008523CA">
              <w:rPr>
                <w:rFonts w:asciiTheme="majorHAnsi" w:hAnsiTheme="majorHAnsi" w:cs="Arial"/>
                <w:iCs/>
                <w:color w:val="000000" w:themeColor="text1"/>
                <w:sz w:val="22"/>
                <w:szCs w:val="22"/>
                <w:lang w:val="en-US"/>
              </w:rPr>
              <w:t>Maths</w:t>
            </w:r>
            <w:proofErr w:type="spellEnd"/>
            <w:r w:rsidRPr="008523CA">
              <w:rPr>
                <w:rFonts w:asciiTheme="majorHAnsi" w:hAnsiTheme="majorHAnsi" w:cs="Arial"/>
                <w:iCs/>
                <w:color w:val="000000" w:themeColor="text1"/>
                <w:sz w:val="22"/>
                <w:szCs w:val="22"/>
                <w:lang w:val="en-US"/>
              </w:rPr>
              <w:t xml:space="preserve">. He loves active approaches to learning and is a born again ‘bar </w:t>
            </w:r>
            <w:proofErr w:type="spellStart"/>
            <w:r w:rsidRPr="008523CA">
              <w:rPr>
                <w:rFonts w:asciiTheme="majorHAnsi" w:hAnsiTheme="majorHAnsi" w:cs="Arial"/>
                <w:iCs/>
                <w:color w:val="000000" w:themeColor="text1"/>
                <w:sz w:val="22"/>
                <w:szCs w:val="22"/>
                <w:lang w:val="en-US"/>
              </w:rPr>
              <w:t>modeller</w:t>
            </w:r>
            <w:proofErr w:type="spellEnd"/>
            <w:r w:rsidRPr="008523CA">
              <w:rPr>
                <w:rFonts w:asciiTheme="majorHAnsi" w:hAnsiTheme="majorHAnsi" w:cs="Arial"/>
                <w:iCs/>
                <w:color w:val="000000" w:themeColor="text1"/>
                <w:sz w:val="22"/>
                <w:szCs w:val="22"/>
                <w:lang w:val="en-US"/>
              </w:rPr>
              <w:t xml:space="preserve">’.  </w:t>
            </w:r>
          </w:p>
          <w:p w:rsidR="006C2A36" w:rsidRDefault="006C2A36" w:rsidP="00592B6D"/>
        </w:tc>
      </w:tr>
      <w:tr w:rsidR="006C2A36" w:rsidTr="006C2A36">
        <w:tc>
          <w:tcPr>
            <w:tcW w:w="10205" w:type="dxa"/>
          </w:tcPr>
          <w:p w:rsidR="006C2A36" w:rsidRPr="009636EF" w:rsidRDefault="006C2A36" w:rsidP="00592B6D">
            <w:pPr>
              <w:jc w:val="center"/>
              <w:rPr>
                <w:rFonts w:asciiTheme="majorHAnsi" w:hAnsiTheme="majorHAnsi" w:cs="Arial"/>
                <w:b/>
                <w:iCs/>
                <w:color w:val="000000" w:themeColor="text1"/>
                <w:u w:val="single"/>
                <w:lang w:val="en-US"/>
              </w:rPr>
            </w:pPr>
            <w:r w:rsidRPr="009636EF">
              <w:rPr>
                <w:rFonts w:asciiTheme="majorHAnsi" w:hAnsiTheme="majorHAnsi" w:cs="Arial"/>
                <w:b/>
                <w:iCs/>
                <w:color w:val="000000" w:themeColor="text1"/>
                <w:u w:val="single"/>
                <w:lang w:val="en-US"/>
              </w:rPr>
              <w:t>Core mathematics</w:t>
            </w:r>
          </w:p>
          <w:p w:rsidR="006C2A36" w:rsidRPr="009636EF" w:rsidRDefault="006C2A36" w:rsidP="00592B6D">
            <w:pPr>
              <w:rPr>
                <w:rFonts w:asciiTheme="majorHAnsi" w:hAnsiTheme="majorHAnsi" w:cs="Arial"/>
                <w:b/>
                <w:color w:val="000000" w:themeColor="text1"/>
                <w:u w:val="single"/>
                <w:shd w:val="clear" w:color="auto" w:fill="FFFFFF"/>
              </w:rPr>
            </w:pPr>
          </w:p>
          <w:p w:rsidR="006C2A36" w:rsidRPr="008B07AE" w:rsidRDefault="006C2A36" w:rsidP="00592B6D">
            <w:pPr>
              <w:pStyle w:val="Default"/>
              <w:rPr>
                <w:rFonts w:asciiTheme="majorHAnsi" w:hAnsiTheme="majorHAnsi" w:cs="Arial"/>
                <w:iCs/>
                <w:color w:val="000000" w:themeColor="text1"/>
                <w:sz w:val="22"/>
                <w:szCs w:val="22"/>
                <w:lang w:val="en-US"/>
              </w:rPr>
            </w:pPr>
            <w:r w:rsidRPr="008B07AE">
              <w:rPr>
                <w:rFonts w:asciiTheme="majorHAnsi" w:hAnsiTheme="majorHAnsi"/>
                <w:color w:val="000000" w:themeColor="text1"/>
                <w:sz w:val="22"/>
                <w:szCs w:val="22"/>
              </w:rPr>
              <w:t xml:space="preserve">This workshop will </w:t>
            </w:r>
            <w:r w:rsidRPr="008B07AE">
              <w:rPr>
                <w:rFonts w:asciiTheme="majorHAnsi" w:hAnsiTheme="majorHAnsi" w:cs="Arial"/>
                <w:iCs/>
                <w:color w:val="000000" w:themeColor="text1"/>
                <w:sz w:val="22"/>
                <w:szCs w:val="22"/>
                <w:lang w:val="en-US"/>
              </w:rPr>
              <w:t xml:space="preserve">include an update on Core Mathematics, and how it fits into the wider picture of increasing </w:t>
            </w:r>
            <w:proofErr w:type="spellStart"/>
            <w:r>
              <w:rPr>
                <w:rFonts w:asciiTheme="majorHAnsi" w:hAnsiTheme="majorHAnsi" w:cs="Arial"/>
                <w:iCs/>
                <w:color w:val="000000" w:themeColor="text1"/>
                <w:sz w:val="22"/>
                <w:szCs w:val="22"/>
                <w:lang w:val="en-US"/>
              </w:rPr>
              <w:t>m</w:t>
            </w:r>
            <w:r w:rsidRPr="008B07AE">
              <w:rPr>
                <w:rFonts w:asciiTheme="majorHAnsi" w:hAnsiTheme="majorHAnsi" w:cs="Arial"/>
                <w:iCs/>
                <w:color w:val="000000" w:themeColor="text1"/>
                <w:sz w:val="22"/>
                <w:szCs w:val="22"/>
                <w:lang w:val="en-US"/>
              </w:rPr>
              <w:t>aths</w:t>
            </w:r>
            <w:proofErr w:type="spellEnd"/>
            <w:r w:rsidRPr="008B07AE">
              <w:rPr>
                <w:rFonts w:asciiTheme="majorHAnsi" w:hAnsiTheme="majorHAnsi" w:cs="Arial"/>
                <w:iCs/>
                <w:color w:val="000000" w:themeColor="text1"/>
                <w:sz w:val="22"/>
                <w:szCs w:val="22"/>
                <w:lang w:val="en-US"/>
              </w:rPr>
              <w:t xml:space="preserve"> participation in post-16 in general. The session also aims to share the experience of teaching Core </w:t>
            </w:r>
            <w:proofErr w:type="spellStart"/>
            <w:r>
              <w:rPr>
                <w:rFonts w:asciiTheme="majorHAnsi" w:hAnsiTheme="majorHAnsi" w:cs="Arial"/>
                <w:iCs/>
                <w:color w:val="000000" w:themeColor="text1"/>
                <w:sz w:val="22"/>
                <w:szCs w:val="22"/>
                <w:lang w:val="en-US"/>
              </w:rPr>
              <w:t>M</w:t>
            </w:r>
            <w:r w:rsidRPr="008B07AE">
              <w:rPr>
                <w:rFonts w:asciiTheme="majorHAnsi" w:hAnsiTheme="majorHAnsi" w:cs="Arial"/>
                <w:iCs/>
                <w:color w:val="000000" w:themeColor="text1"/>
                <w:sz w:val="22"/>
                <w:szCs w:val="22"/>
                <w:lang w:val="en-US"/>
              </w:rPr>
              <w:t>aths</w:t>
            </w:r>
            <w:proofErr w:type="spellEnd"/>
            <w:r w:rsidRPr="008B07AE">
              <w:rPr>
                <w:rFonts w:asciiTheme="majorHAnsi" w:hAnsiTheme="majorHAnsi" w:cs="Arial"/>
                <w:iCs/>
                <w:color w:val="000000" w:themeColor="text1"/>
                <w:sz w:val="22"/>
                <w:szCs w:val="22"/>
                <w:lang w:val="en-US"/>
              </w:rPr>
              <w:t xml:space="preserve"> so far, and how </w:t>
            </w:r>
            <w:r>
              <w:rPr>
                <w:rFonts w:asciiTheme="majorHAnsi" w:hAnsiTheme="majorHAnsi" w:cs="Arial"/>
                <w:iCs/>
                <w:color w:val="000000" w:themeColor="text1"/>
                <w:sz w:val="22"/>
                <w:szCs w:val="22"/>
                <w:lang w:val="en-US"/>
              </w:rPr>
              <w:t xml:space="preserve">Core </w:t>
            </w:r>
            <w:proofErr w:type="spellStart"/>
            <w:r>
              <w:rPr>
                <w:rFonts w:asciiTheme="majorHAnsi" w:hAnsiTheme="majorHAnsi" w:cs="Arial"/>
                <w:iCs/>
                <w:color w:val="000000" w:themeColor="text1"/>
                <w:sz w:val="22"/>
                <w:szCs w:val="22"/>
                <w:lang w:val="en-US"/>
              </w:rPr>
              <w:t>Maths</w:t>
            </w:r>
            <w:proofErr w:type="spellEnd"/>
            <w:r>
              <w:rPr>
                <w:rFonts w:asciiTheme="majorHAnsi" w:hAnsiTheme="majorHAnsi" w:cs="Arial"/>
                <w:iCs/>
                <w:color w:val="000000" w:themeColor="text1"/>
                <w:sz w:val="22"/>
                <w:szCs w:val="22"/>
                <w:lang w:val="en-US"/>
              </w:rPr>
              <w:t xml:space="preserve"> </w:t>
            </w:r>
            <w:r w:rsidRPr="008B07AE">
              <w:rPr>
                <w:rFonts w:asciiTheme="majorHAnsi" w:hAnsiTheme="majorHAnsi" w:cs="Arial"/>
                <w:iCs/>
                <w:color w:val="000000" w:themeColor="text1"/>
                <w:sz w:val="22"/>
                <w:szCs w:val="22"/>
                <w:lang w:val="en-US"/>
              </w:rPr>
              <w:t xml:space="preserve">differs from A-level or GCSE </w:t>
            </w:r>
            <w:proofErr w:type="spellStart"/>
            <w:r w:rsidRPr="008B07AE">
              <w:rPr>
                <w:rFonts w:asciiTheme="majorHAnsi" w:hAnsiTheme="majorHAnsi" w:cs="Arial"/>
                <w:iCs/>
                <w:color w:val="000000" w:themeColor="text1"/>
                <w:sz w:val="22"/>
                <w:szCs w:val="22"/>
                <w:lang w:val="en-US"/>
              </w:rPr>
              <w:t>Maths</w:t>
            </w:r>
            <w:proofErr w:type="spellEnd"/>
            <w:r w:rsidRPr="008B07AE">
              <w:rPr>
                <w:rFonts w:asciiTheme="majorHAnsi" w:hAnsiTheme="majorHAnsi" w:cs="Arial"/>
                <w:iCs/>
                <w:color w:val="000000" w:themeColor="text1"/>
                <w:sz w:val="22"/>
                <w:szCs w:val="22"/>
                <w:lang w:val="en-US"/>
              </w:rPr>
              <w:t xml:space="preserve"> teaching.  Finally there will be a mini showcase of the resources used for teaching Core </w:t>
            </w:r>
            <w:proofErr w:type="spellStart"/>
            <w:r>
              <w:rPr>
                <w:rFonts w:asciiTheme="majorHAnsi" w:hAnsiTheme="majorHAnsi" w:cs="Arial"/>
                <w:iCs/>
                <w:color w:val="000000" w:themeColor="text1"/>
                <w:sz w:val="22"/>
                <w:szCs w:val="22"/>
                <w:lang w:val="en-US"/>
              </w:rPr>
              <w:t>M</w:t>
            </w:r>
            <w:r w:rsidRPr="008B07AE">
              <w:rPr>
                <w:rFonts w:asciiTheme="majorHAnsi" w:hAnsiTheme="majorHAnsi" w:cs="Arial"/>
                <w:iCs/>
                <w:color w:val="000000" w:themeColor="text1"/>
                <w:sz w:val="22"/>
                <w:szCs w:val="22"/>
                <w:lang w:val="en-US"/>
              </w:rPr>
              <w:t>aths</w:t>
            </w:r>
            <w:proofErr w:type="spellEnd"/>
            <w:r w:rsidRPr="008B07AE">
              <w:rPr>
                <w:rFonts w:asciiTheme="majorHAnsi" w:hAnsiTheme="majorHAnsi" w:cs="Arial"/>
                <w:iCs/>
                <w:color w:val="000000" w:themeColor="text1"/>
                <w:sz w:val="22"/>
                <w:szCs w:val="22"/>
                <w:lang w:val="en-US"/>
              </w:rPr>
              <w:t xml:space="preserve"> (e.g. </w:t>
            </w:r>
            <w:proofErr w:type="spellStart"/>
            <w:r w:rsidRPr="008B07AE">
              <w:rPr>
                <w:rFonts w:asciiTheme="majorHAnsi" w:hAnsiTheme="majorHAnsi" w:cs="Arial"/>
                <w:iCs/>
                <w:color w:val="000000" w:themeColor="text1"/>
                <w:sz w:val="22"/>
                <w:szCs w:val="22"/>
                <w:lang w:val="en-US"/>
              </w:rPr>
              <w:t>Bowland</w:t>
            </w:r>
            <w:proofErr w:type="spellEnd"/>
            <w:r w:rsidRPr="008B07AE">
              <w:rPr>
                <w:rFonts w:asciiTheme="majorHAnsi" w:hAnsiTheme="majorHAnsi" w:cs="Arial"/>
                <w:iCs/>
                <w:color w:val="000000" w:themeColor="text1"/>
                <w:sz w:val="22"/>
                <w:szCs w:val="22"/>
                <w:lang w:val="en-US"/>
              </w:rPr>
              <w:t xml:space="preserve"> </w:t>
            </w:r>
            <w:proofErr w:type="spellStart"/>
            <w:r w:rsidRPr="008B07AE">
              <w:rPr>
                <w:rFonts w:asciiTheme="majorHAnsi" w:hAnsiTheme="majorHAnsi" w:cs="Arial"/>
                <w:iCs/>
                <w:color w:val="000000" w:themeColor="text1"/>
                <w:sz w:val="22"/>
                <w:szCs w:val="22"/>
                <w:lang w:val="en-US"/>
              </w:rPr>
              <w:t>Maths</w:t>
            </w:r>
            <w:proofErr w:type="spellEnd"/>
            <w:r w:rsidRPr="008B07AE">
              <w:rPr>
                <w:rFonts w:asciiTheme="majorHAnsi" w:hAnsiTheme="majorHAnsi" w:cs="Arial"/>
                <w:iCs/>
                <w:color w:val="000000" w:themeColor="text1"/>
                <w:sz w:val="22"/>
                <w:szCs w:val="22"/>
                <w:lang w:val="en-US"/>
              </w:rPr>
              <w:t xml:space="preserve">, </w:t>
            </w:r>
            <w:proofErr w:type="spellStart"/>
            <w:r w:rsidRPr="008B07AE">
              <w:rPr>
                <w:rFonts w:asciiTheme="majorHAnsi" w:hAnsiTheme="majorHAnsi" w:cs="Arial"/>
                <w:iCs/>
                <w:color w:val="000000" w:themeColor="text1"/>
                <w:sz w:val="22"/>
                <w:szCs w:val="22"/>
                <w:lang w:val="en-US"/>
              </w:rPr>
              <w:t>Nrich</w:t>
            </w:r>
            <w:proofErr w:type="spellEnd"/>
            <w:r w:rsidRPr="008B07AE">
              <w:rPr>
                <w:rFonts w:asciiTheme="majorHAnsi" w:hAnsiTheme="majorHAnsi" w:cs="Arial"/>
                <w:iCs/>
                <w:color w:val="000000" w:themeColor="text1"/>
                <w:sz w:val="22"/>
                <w:szCs w:val="22"/>
                <w:lang w:val="en-US"/>
              </w:rPr>
              <w:t xml:space="preserve"> and resources from </w:t>
            </w:r>
            <w:r>
              <w:rPr>
                <w:rFonts w:asciiTheme="majorHAnsi" w:hAnsiTheme="majorHAnsi" w:cs="Arial"/>
                <w:iCs/>
                <w:color w:val="000000" w:themeColor="text1"/>
                <w:sz w:val="22"/>
                <w:szCs w:val="22"/>
                <w:lang w:val="en-US"/>
              </w:rPr>
              <w:t xml:space="preserve">the </w:t>
            </w:r>
            <w:r w:rsidRPr="008B07AE">
              <w:rPr>
                <w:rFonts w:asciiTheme="majorHAnsi" w:hAnsiTheme="majorHAnsi" w:cs="Arial"/>
                <w:iCs/>
                <w:color w:val="000000" w:themeColor="text1"/>
                <w:sz w:val="22"/>
                <w:szCs w:val="22"/>
                <w:lang w:val="en-US"/>
              </w:rPr>
              <w:t xml:space="preserve">Core Mathematics Support </w:t>
            </w:r>
            <w:proofErr w:type="spellStart"/>
            <w:r w:rsidRPr="008B07AE">
              <w:rPr>
                <w:rFonts w:asciiTheme="majorHAnsi" w:hAnsiTheme="majorHAnsi" w:cs="Arial"/>
                <w:iCs/>
                <w:color w:val="000000" w:themeColor="text1"/>
                <w:sz w:val="22"/>
                <w:szCs w:val="22"/>
                <w:lang w:val="en-US"/>
              </w:rPr>
              <w:t>Programme</w:t>
            </w:r>
            <w:proofErr w:type="spellEnd"/>
            <w:r w:rsidRPr="008B07AE">
              <w:rPr>
                <w:rFonts w:asciiTheme="majorHAnsi" w:hAnsiTheme="majorHAnsi" w:cs="Arial"/>
                <w:iCs/>
                <w:color w:val="000000" w:themeColor="text1"/>
                <w:sz w:val="22"/>
                <w:szCs w:val="22"/>
                <w:lang w:val="en-US"/>
              </w:rPr>
              <w:t>).</w:t>
            </w:r>
          </w:p>
          <w:p w:rsidR="006C2A36" w:rsidRDefault="006C2A36" w:rsidP="00592B6D">
            <w:pPr>
              <w:pStyle w:val="Default"/>
              <w:rPr>
                <w:rFonts w:asciiTheme="majorHAnsi" w:hAnsiTheme="majorHAnsi" w:cs="Arial"/>
                <w:iCs/>
                <w:color w:val="000000" w:themeColor="text1"/>
                <w:lang w:val="en-US"/>
              </w:rPr>
            </w:pPr>
          </w:p>
          <w:p w:rsidR="006C2A36" w:rsidRPr="009636EF" w:rsidRDefault="006C2A36" w:rsidP="00592B6D">
            <w:pPr>
              <w:jc w:val="center"/>
              <w:rPr>
                <w:rFonts w:asciiTheme="majorHAnsi" w:hAnsiTheme="majorHAnsi"/>
                <w:b/>
                <w:u w:val="single"/>
              </w:rPr>
            </w:pPr>
            <w:r w:rsidRPr="009636EF">
              <w:rPr>
                <w:rFonts w:asciiTheme="majorHAnsi" w:hAnsiTheme="majorHAnsi"/>
                <w:b/>
                <w:u w:val="single"/>
              </w:rPr>
              <w:t>Lily Tang</w:t>
            </w:r>
          </w:p>
          <w:p w:rsidR="006C2A36" w:rsidRPr="009636EF" w:rsidRDefault="006C2A36" w:rsidP="00592B6D">
            <w:pPr>
              <w:widowControl w:val="0"/>
              <w:autoSpaceDE w:val="0"/>
              <w:autoSpaceDN w:val="0"/>
              <w:adjustRightInd w:val="0"/>
              <w:jc w:val="center"/>
              <w:rPr>
                <w:rFonts w:asciiTheme="majorHAnsi" w:hAnsiTheme="majorHAnsi" w:cs="Calibri"/>
                <w:b/>
                <w:i/>
                <w:iCs/>
                <w:color w:val="000000" w:themeColor="text1"/>
                <w:lang w:val="en-US"/>
              </w:rPr>
            </w:pPr>
            <w:r w:rsidRPr="009636EF">
              <w:rPr>
                <w:rFonts w:asciiTheme="majorHAnsi" w:hAnsiTheme="majorHAnsi" w:cs="Calibri"/>
                <w:b/>
                <w:i/>
                <w:iCs/>
                <w:color w:val="000000" w:themeColor="text1"/>
                <w:lang w:val="en-US"/>
              </w:rPr>
              <w:t>Mathematics Lecturer and Core Mathematics Lead, Cambridge Regional College</w:t>
            </w:r>
          </w:p>
          <w:p w:rsidR="006C2A36" w:rsidRPr="009636EF" w:rsidRDefault="006C2A36" w:rsidP="00592B6D">
            <w:pPr>
              <w:widowControl w:val="0"/>
              <w:autoSpaceDE w:val="0"/>
              <w:autoSpaceDN w:val="0"/>
              <w:adjustRightInd w:val="0"/>
              <w:rPr>
                <w:rFonts w:asciiTheme="majorHAnsi" w:hAnsiTheme="majorHAnsi" w:cs="Calibri"/>
                <w:iCs/>
                <w:color w:val="000000" w:themeColor="text1"/>
                <w:lang w:val="en-US"/>
              </w:rPr>
            </w:pPr>
          </w:p>
          <w:p w:rsidR="006C2A36" w:rsidRPr="009636EF" w:rsidRDefault="006C2A36" w:rsidP="00592B6D">
            <w:pPr>
              <w:rPr>
                <w:rFonts w:asciiTheme="majorHAnsi" w:hAnsiTheme="majorHAnsi" w:cs="Arial"/>
                <w:color w:val="000000" w:themeColor="text1"/>
                <w:shd w:val="clear" w:color="auto" w:fill="FFFFFF"/>
              </w:rPr>
            </w:pPr>
            <w:r w:rsidRPr="009636EF">
              <w:rPr>
                <w:rFonts w:asciiTheme="majorHAnsi" w:hAnsiTheme="majorHAnsi" w:cs="Arial"/>
                <w:color w:val="000000" w:themeColor="text1"/>
                <w:shd w:val="clear" w:color="auto" w:fill="FFFFFF"/>
              </w:rPr>
              <w:t>Lily Tang is a Maths lecturer as well as the co-ordinator for Core Maths at Cambridge Regional College, a</w:t>
            </w:r>
            <w:r w:rsidRPr="009636EF">
              <w:rPr>
                <w:rStyle w:val="apple-converted-space"/>
                <w:rFonts w:asciiTheme="majorHAnsi" w:hAnsiTheme="majorHAnsi" w:cs="Arial"/>
                <w:color w:val="000000" w:themeColor="text1"/>
                <w:shd w:val="clear" w:color="auto" w:fill="FFFFFF"/>
              </w:rPr>
              <w:t> </w:t>
            </w:r>
            <w:r w:rsidRPr="009636EF">
              <w:rPr>
                <w:rFonts w:asciiTheme="majorHAnsi" w:hAnsiTheme="majorHAnsi"/>
                <w:color w:val="000000" w:themeColor="text1"/>
              </w:rPr>
              <w:t>medium sized</w:t>
            </w:r>
            <w:r w:rsidRPr="009636EF">
              <w:rPr>
                <w:rStyle w:val="apple-converted-space"/>
                <w:rFonts w:asciiTheme="majorHAnsi" w:hAnsiTheme="majorHAnsi" w:cs="Arial"/>
                <w:color w:val="000000" w:themeColor="text1"/>
                <w:shd w:val="clear" w:color="auto" w:fill="FFFFFF"/>
              </w:rPr>
              <w:t> </w:t>
            </w:r>
            <w:r w:rsidRPr="009636EF">
              <w:rPr>
                <w:rFonts w:asciiTheme="majorHAnsi" w:hAnsiTheme="majorHAnsi" w:cs="Arial"/>
                <w:color w:val="000000" w:themeColor="text1"/>
                <w:shd w:val="clear" w:color="auto" w:fill="FFFFFF"/>
              </w:rPr>
              <w:t xml:space="preserve">FE college in Cambridgeshire. As well as teaching functional skills and GCSE resits, she is teaching both Year 1 and Year 2 Core Maths classes </w:t>
            </w:r>
            <w:r>
              <w:rPr>
                <w:rFonts w:asciiTheme="majorHAnsi" w:hAnsiTheme="majorHAnsi" w:cs="Arial"/>
                <w:color w:val="000000" w:themeColor="text1"/>
                <w:shd w:val="clear" w:color="auto" w:fill="FFFFFF"/>
              </w:rPr>
              <w:t>to</w:t>
            </w:r>
            <w:r w:rsidRPr="009636EF">
              <w:rPr>
                <w:rFonts w:asciiTheme="majorHAnsi" w:hAnsiTheme="majorHAnsi" w:cs="Arial"/>
                <w:color w:val="000000" w:themeColor="text1"/>
                <w:shd w:val="clear" w:color="auto" w:fill="FFFFFF"/>
              </w:rPr>
              <w:t xml:space="preserve"> learners following Level 3 BTEC programmes in Uniform Services, Art, Business, </w:t>
            </w:r>
            <w:r>
              <w:rPr>
                <w:rFonts w:asciiTheme="majorHAnsi" w:hAnsiTheme="majorHAnsi" w:cs="Arial"/>
                <w:color w:val="000000" w:themeColor="text1"/>
                <w:shd w:val="clear" w:color="auto" w:fill="FFFFFF"/>
              </w:rPr>
              <w:t>M</w:t>
            </w:r>
            <w:r w:rsidRPr="009636EF">
              <w:rPr>
                <w:rFonts w:asciiTheme="majorHAnsi" w:hAnsiTheme="majorHAnsi" w:cs="Arial"/>
                <w:color w:val="000000" w:themeColor="text1"/>
                <w:shd w:val="clear" w:color="auto" w:fill="FFFFFF"/>
              </w:rPr>
              <w:t>edia and Games Design.</w:t>
            </w:r>
          </w:p>
          <w:p w:rsidR="006C2A36" w:rsidRDefault="006C2A36" w:rsidP="00592B6D"/>
        </w:tc>
      </w:tr>
      <w:tr w:rsidR="006C2A36" w:rsidTr="006C2A36">
        <w:tc>
          <w:tcPr>
            <w:tcW w:w="10205" w:type="dxa"/>
          </w:tcPr>
          <w:p w:rsidR="006C2A36" w:rsidRPr="009636EF" w:rsidRDefault="006C2A36" w:rsidP="00592B6D">
            <w:pPr>
              <w:jc w:val="center"/>
              <w:rPr>
                <w:rFonts w:asciiTheme="majorHAnsi" w:eastAsia="Calibri" w:hAnsiTheme="majorHAnsi" w:cs="Arial"/>
                <w:b/>
                <w:iCs/>
                <w:color w:val="000000" w:themeColor="text1"/>
                <w:sz w:val="24"/>
                <w:szCs w:val="24"/>
                <w:u w:val="single"/>
                <w:lang w:val="en-US" w:eastAsia="en-GB"/>
              </w:rPr>
            </w:pPr>
            <w:r w:rsidRPr="009636EF">
              <w:rPr>
                <w:rFonts w:asciiTheme="majorHAnsi" w:eastAsia="Calibri" w:hAnsiTheme="majorHAnsi" w:cs="Arial"/>
                <w:b/>
                <w:iCs/>
                <w:color w:val="000000" w:themeColor="text1"/>
                <w:sz w:val="24"/>
                <w:szCs w:val="24"/>
                <w:u w:val="single"/>
                <w:lang w:val="en-US" w:eastAsia="en-GB"/>
              </w:rPr>
              <w:t>Creating puzzles, investigations and games which reinforce mathematical concepts</w:t>
            </w:r>
          </w:p>
          <w:p w:rsidR="006C2A36" w:rsidRPr="009636EF" w:rsidRDefault="006C2A36" w:rsidP="00592B6D">
            <w:pPr>
              <w:rPr>
                <w:rFonts w:asciiTheme="majorHAnsi" w:eastAsia="Calibri" w:hAnsiTheme="majorHAnsi" w:cs="Arial"/>
                <w:b/>
                <w:iCs/>
                <w:color w:val="000000" w:themeColor="text1"/>
                <w:sz w:val="24"/>
                <w:szCs w:val="24"/>
                <w:u w:val="single"/>
                <w:lang w:val="en-US" w:eastAsia="en-GB"/>
              </w:rPr>
            </w:pPr>
          </w:p>
          <w:p w:rsidR="006C2A36" w:rsidRDefault="006C2A36" w:rsidP="00592B6D">
            <w:pPr>
              <w:rPr>
                <w:rFonts w:asciiTheme="majorHAnsi" w:hAnsiTheme="majorHAnsi"/>
              </w:rPr>
            </w:pPr>
            <w:r w:rsidRPr="009636EF">
              <w:rPr>
                <w:rFonts w:asciiTheme="majorHAnsi" w:hAnsiTheme="majorHAnsi"/>
              </w:rPr>
              <w:t xml:space="preserve">Learning through play is a useful </w:t>
            </w:r>
            <w:r>
              <w:rPr>
                <w:rFonts w:asciiTheme="majorHAnsi" w:hAnsiTheme="majorHAnsi"/>
              </w:rPr>
              <w:t>way</w:t>
            </w:r>
            <w:r w:rsidRPr="009636EF">
              <w:rPr>
                <w:rFonts w:asciiTheme="majorHAnsi" w:hAnsiTheme="majorHAnsi"/>
              </w:rPr>
              <w:t xml:space="preserve"> for teachers to introduce new topics or revise previous subject matter. This workshop will give you a hands</w:t>
            </w:r>
            <w:r>
              <w:rPr>
                <w:rFonts w:asciiTheme="majorHAnsi" w:hAnsiTheme="majorHAnsi"/>
              </w:rPr>
              <w:t>-</w:t>
            </w:r>
            <w:r w:rsidRPr="009636EF">
              <w:rPr>
                <w:rFonts w:asciiTheme="majorHAnsi" w:hAnsiTheme="majorHAnsi"/>
              </w:rPr>
              <w:t>on approach to creating your own resource</w:t>
            </w:r>
            <w:r>
              <w:rPr>
                <w:rFonts w:asciiTheme="majorHAnsi" w:hAnsiTheme="majorHAnsi"/>
              </w:rPr>
              <w:t>s</w:t>
            </w:r>
            <w:r w:rsidRPr="009636EF">
              <w:rPr>
                <w:rFonts w:asciiTheme="majorHAnsi" w:hAnsiTheme="majorHAnsi"/>
              </w:rPr>
              <w:t xml:space="preserve"> from scratch.</w:t>
            </w:r>
          </w:p>
          <w:p w:rsidR="006C2A36" w:rsidRDefault="006C2A36" w:rsidP="00592B6D">
            <w:pPr>
              <w:rPr>
                <w:rFonts w:asciiTheme="majorHAnsi" w:hAnsiTheme="majorHAnsi"/>
              </w:rPr>
            </w:pPr>
          </w:p>
          <w:p w:rsidR="006C2A36" w:rsidRPr="009636EF" w:rsidRDefault="006C2A36" w:rsidP="00592B6D">
            <w:pPr>
              <w:jc w:val="center"/>
              <w:rPr>
                <w:rFonts w:asciiTheme="majorHAnsi" w:eastAsia="Calibri" w:hAnsiTheme="majorHAnsi" w:cs="Arial"/>
                <w:b/>
                <w:iCs/>
                <w:color w:val="000000" w:themeColor="text1"/>
                <w:sz w:val="24"/>
                <w:szCs w:val="24"/>
                <w:u w:val="single"/>
                <w:lang w:val="en-US" w:eastAsia="en-GB"/>
              </w:rPr>
            </w:pPr>
            <w:r w:rsidRPr="009636EF">
              <w:rPr>
                <w:rFonts w:asciiTheme="majorHAnsi" w:eastAsia="Calibri" w:hAnsiTheme="majorHAnsi" w:cs="Arial"/>
                <w:b/>
                <w:iCs/>
                <w:color w:val="000000" w:themeColor="text1"/>
                <w:sz w:val="24"/>
                <w:szCs w:val="24"/>
                <w:u w:val="single"/>
                <w:lang w:val="en-US" w:eastAsia="en-GB"/>
              </w:rPr>
              <w:t>Anne Townsend</w:t>
            </w:r>
          </w:p>
          <w:p w:rsidR="006C2A36" w:rsidRPr="009636EF" w:rsidRDefault="006C2A36" w:rsidP="00592B6D">
            <w:pPr>
              <w:jc w:val="center"/>
              <w:rPr>
                <w:rFonts w:asciiTheme="majorHAnsi" w:hAnsiTheme="majorHAnsi" w:cs="Helvetica"/>
                <w:b/>
                <w:i/>
                <w:lang w:val="en-US"/>
              </w:rPr>
            </w:pPr>
            <w:r w:rsidRPr="009636EF">
              <w:rPr>
                <w:rFonts w:asciiTheme="majorHAnsi" w:hAnsiTheme="majorHAnsi" w:cs="Helvetica"/>
                <w:b/>
                <w:i/>
                <w:lang w:val="en-US"/>
              </w:rPr>
              <w:t>Independent Mathematics tutor</w:t>
            </w:r>
          </w:p>
          <w:p w:rsidR="006C2A36" w:rsidRPr="009636EF" w:rsidRDefault="006C2A36" w:rsidP="00592B6D">
            <w:pPr>
              <w:rPr>
                <w:rFonts w:asciiTheme="majorHAnsi" w:hAnsiTheme="majorHAnsi" w:cs="Helvetica"/>
                <w:b/>
                <w:i/>
                <w:lang w:val="en-US"/>
              </w:rPr>
            </w:pPr>
          </w:p>
          <w:p w:rsidR="006C2A36" w:rsidRPr="009636EF" w:rsidRDefault="006C2A36" w:rsidP="00592B6D">
            <w:pPr>
              <w:rPr>
                <w:rFonts w:asciiTheme="majorHAnsi" w:eastAsia="Calibri" w:hAnsiTheme="majorHAnsi" w:cs="Arial"/>
                <w:b/>
                <w:iCs/>
                <w:color w:val="000000" w:themeColor="text1"/>
                <w:sz w:val="24"/>
                <w:szCs w:val="24"/>
                <w:lang w:val="en-US" w:eastAsia="en-GB"/>
              </w:rPr>
            </w:pPr>
            <w:r w:rsidRPr="009636EF">
              <w:rPr>
                <w:rFonts w:asciiTheme="majorHAnsi" w:hAnsiTheme="majorHAnsi" w:cs="Helvetica"/>
                <w:lang w:val="en-US"/>
              </w:rPr>
              <w:t xml:space="preserve">Having taught music for most of her life, in 2003 Anne decided to </w:t>
            </w:r>
            <w:r>
              <w:rPr>
                <w:rFonts w:asciiTheme="majorHAnsi" w:hAnsiTheme="majorHAnsi" w:cs="Helvetica"/>
                <w:lang w:val="en-US"/>
              </w:rPr>
              <w:t xml:space="preserve">enroll </w:t>
            </w:r>
            <w:r w:rsidRPr="009636EF">
              <w:rPr>
                <w:rFonts w:asciiTheme="majorHAnsi" w:hAnsiTheme="majorHAnsi" w:cs="Helvetica"/>
                <w:lang w:val="en-US"/>
              </w:rPr>
              <w:t xml:space="preserve">on the A level </w:t>
            </w:r>
            <w:proofErr w:type="spellStart"/>
            <w:r w:rsidRPr="009636EF">
              <w:rPr>
                <w:rFonts w:asciiTheme="majorHAnsi" w:hAnsiTheme="majorHAnsi" w:cs="Helvetica"/>
                <w:lang w:val="en-US"/>
              </w:rPr>
              <w:t>maths</w:t>
            </w:r>
            <w:proofErr w:type="spellEnd"/>
            <w:r w:rsidRPr="009636EF">
              <w:rPr>
                <w:rFonts w:asciiTheme="majorHAnsi" w:hAnsiTheme="majorHAnsi" w:cs="Helvetica"/>
                <w:lang w:val="en-US"/>
              </w:rPr>
              <w:t xml:space="preserve"> course at her local college as a challenge. A few years later she started teaching </w:t>
            </w:r>
            <w:r>
              <w:rPr>
                <w:rFonts w:asciiTheme="majorHAnsi" w:hAnsiTheme="majorHAnsi" w:cs="Helvetica"/>
                <w:lang w:val="en-US"/>
              </w:rPr>
              <w:t>m</w:t>
            </w:r>
            <w:r w:rsidRPr="009636EF">
              <w:rPr>
                <w:rFonts w:asciiTheme="majorHAnsi" w:hAnsiTheme="majorHAnsi" w:cs="Helvetica"/>
                <w:lang w:val="en-US"/>
              </w:rPr>
              <w:t xml:space="preserve">athematics at the same FE college, where she worked until 2015. Anne is currently working as an </w:t>
            </w:r>
            <w:r>
              <w:rPr>
                <w:rFonts w:asciiTheme="majorHAnsi" w:hAnsiTheme="majorHAnsi" w:cs="Helvetica"/>
                <w:lang w:val="en-US"/>
              </w:rPr>
              <w:t>i</w:t>
            </w:r>
            <w:r w:rsidRPr="009636EF">
              <w:rPr>
                <w:rFonts w:asciiTheme="majorHAnsi" w:hAnsiTheme="majorHAnsi" w:cs="Helvetica"/>
                <w:lang w:val="en-US"/>
              </w:rPr>
              <w:t xml:space="preserve">ndependent </w:t>
            </w:r>
            <w:r>
              <w:rPr>
                <w:rFonts w:asciiTheme="majorHAnsi" w:hAnsiTheme="majorHAnsi" w:cs="Helvetica"/>
                <w:lang w:val="en-US"/>
              </w:rPr>
              <w:t>m</w:t>
            </w:r>
            <w:r w:rsidRPr="009636EF">
              <w:rPr>
                <w:rFonts w:asciiTheme="majorHAnsi" w:hAnsiTheme="majorHAnsi" w:cs="Helvetica"/>
                <w:lang w:val="en-US"/>
              </w:rPr>
              <w:t xml:space="preserve">athematics tutor and an A level </w:t>
            </w:r>
            <w:r>
              <w:rPr>
                <w:rFonts w:asciiTheme="majorHAnsi" w:hAnsiTheme="majorHAnsi" w:cs="Helvetica"/>
                <w:lang w:val="en-US"/>
              </w:rPr>
              <w:t>e</w:t>
            </w:r>
            <w:r w:rsidRPr="009636EF">
              <w:rPr>
                <w:rFonts w:asciiTheme="majorHAnsi" w:hAnsiTheme="majorHAnsi" w:cs="Helvetica"/>
                <w:lang w:val="en-US"/>
              </w:rPr>
              <w:t>xaminer.</w:t>
            </w:r>
          </w:p>
          <w:p w:rsidR="006C2A36" w:rsidRDefault="006C2A36" w:rsidP="00592B6D"/>
        </w:tc>
      </w:tr>
    </w:tbl>
    <w:p w:rsidR="006C2A36" w:rsidRDefault="006C2A36" w:rsidP="006C2A36"/>
    <w:p w:rsidR="00971CEB" w:rsidRDefault="00282E3F"/>
    <w:sectPr w:rsidR="00971CEB" w:rsidSect="006C2A36">
      <w:pgSz w:w="11906" w:h="16838"/>
      <w:pgMar w:top="1021" w:right="1077"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36"/>
    <w:rsid w:val="00282E3F"/>
    <w:rsid w:val="006C2A36"/>
    <w:rsid w:val="008C1B21"/>
    <w:rsid w:val="00C82E5C"/>
    <w:rsid w:val="00D12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8EF033-336E-47E2-B253-B01BF0D4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C2A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2A36"/>
    <w:pPr>
      <w:autoSpaceDE w:val="0"/>
      <w:autoSpaceDN w:val="0"/>
      <w:adjustRightInd w:val="0"/>
      <w:spacing w:after="0" w:line="240" w:lineRule="auto"/>
    </w:pPr>
    <w:rPr>
      <w:rFonts w:ascii="Calibri" w:eastAsia="Calibri" w:hAnsi="Calibri" w:cs="Calibri"/>
      <w:color w:val="000000"/>
      <w:sz w:val="24"/>
      <w:szCs w:val="24"/>
      <w:lang w:eastAsia="en-GB"/>
    </w:rPr>
  </w:style>
  <w:style w:type="character" w:customStyle="1" w:styleId="apple-converted-space">
    <w:name w:val="apple-converted-space"/>
    <w:basedOn w:val="DefaultParagraphFont"/>
    <w:rsid w:val="006C2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nkedin.com/title/curriculum-manager-applied-science-%26-mathematics?trk=mprofile_tit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John Barton</cp:lastModifiedBy>
  <cp:revision>2</cp:revision>
  <dcterms:created xsi:type="dcterms:W3CDTF">2016-06-14T11:42:00Z</dcterms:created>
  <dcterms:modified xsi:type="dcterms:W3CDTF">2016-06-14T11:42:00Z</dcterms:modified>
</cp:coreProperties>
</file>